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597" w:rsidRDefault="002A0597">
      <w:pPr>
        <w:pStyle w:val="normal0"/>
        <w:widowControl w:val="0"/>
        <w:pBdr>
          <w:top w:val="nil"/>
          <w:left w:val="nil"/>
          <w:bottom w:val="nil"/>
          <w:right w:val="nil"/>
          <w:between w:val="nil"/>
        </w:pBdr>
        <w:spacing w:before="0" w:after="0" w:line="276" w:lineRule="auto"/>
        <w:jc w:val="left"/>
        <w:rPr>
          <w:rFonts w:ascii="Arial" w:eastAsia="Arial" w:hAnsi="Arial" w:cs="Arial"/>
          <w:color w:val="000000"/>
          <w:sz w:val="22"/>
          <w:szCs w:val="22"/>
        </w:rPr>
      </w:pPr>
    </w:p>
    <w:tbl>
      <w:tblPr>
        <w:tblStyle w:val="a"/>
        <w:tblW w:w="11049" w:type="dxa"/>
        <w:tblInd w:w="-731" w:type="dxa"/>
        <w:tblLayout w:type="fixed"/>
        <w:tblLook w:val="0000"/>
      </w:tblPr>
      <w:tblGrid>
        <w:gridCol w:w="1812"/>
        <w:gridCol w:w="9237"/>
      </w:tblGrid>
      <w:tr w:rsidR="002A0597">
        <w:trPr>
          <w:cantSplit/>
          <w:tblHeader/>
        </w:trPr>
        <w:tc>
          <w:tcPr>
            <w:tcW w:w="1812" w:type="dxa"/>
            <w:vMerge w:val="restart"/>
            <w:shd w:val="clear" w:color="auto" w:fill="auto"/>
          </w:tcPr>
          <w:p w:rsidR="002A0597" w:rsidRDefault="0012198F">
            <w:pPr>
              <w:pStyle w:val="normal0"/>
              <w:widowControl w:val="0"/>
              <w:pBdr>
                <w:top w:val="nil"/>
                <w:left w:val="nil"/>
                <w:bottom w:val="nil"/>
                <w:right w:val="nil"/>
                <w:between w:val="nil"/>
              </w:pBdr>
              <w:rPr>
                <w:color w:val="000000"/>
                <w:sz w:val="12"/>
                <w:szCs w:val="12"/>
              </w:rPr>
            </w:pPr>
            <w:r>
              <w:rPr>
                <w:noProof/>
              </w:rPr>
              <w:drawing>
                <wp:anchor distT="0" distB="0" distL="0" distR="0" simplePos="0" relativeHeight="251658240" behindDoc="0" locked="0" layoutInCell="1" allowOverlap="1">
                  <wp:simplePos x="0" y="0"/>
                  <wp:positionH relativeFrom="column">
                    <wp:posOffset>-16509</wp:posOffset>
                  </wp:positionH>
                  <wp:positionV relativeFrom="paragraph">
                    <wp:posOffset>87630</wp:posOffset>
                  </wp:positionV>
                  <wp:extent cx="1114425" cy="7689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14425" cy="768985"/>
                          </a:xfrm>
                          <a:prstGeom prst="rect">
                            <a:avLst/>
                          </a:prstGeom>
                          <a:ln/>
                        </pic:spPr>
                      </pic:pic>
                    </a:graphicData>
                  </a:graphic>
                </wp:anchor>
              </w:drawing>
            </w:r>
          </w:p>
        </w:tc>
        <w:tc>
          <w:tcPr>
            <w:tcW w:w="9237" w:type="dxa"/>
            <w:tcBorders>
              <w:bottom w:val="single" w:sz="12" w:space="0" w:color="3465A4"/>
            </w:tcBorders>
            <w:shd w:val="clear" w:color="auto" w:fill="auto"/>
          </w:tcPr>
          <w:p w:rsidR="002A0597" w:rsidRDefault="0012198F">
            <w:pPr>
              <w:pStyle w:val="Ttulo"/>
              <w:rPr>
                <w:sz w:val="48"/>
                <w:szCs w:val="48"/>
              </w:rPr>
            </w:pPr>
            <w:r>
              <w:rPr>
                <w:sz w:val="48"/>
                <w:szCs w:val="48"/>
              </w:rPr>
              <w:t>Información al alumnado y sus familias</w:t>
            </w:r>
          </w:p>
        </w:tc>
      </w:tr>
      <w:tr w:rsidR="002A0597">
        <w:trPr>
          <w:cantSplit/>
          <w:tblHeader/>
        </w:trPr>
        <w:tc>
          <w:tcPr>
            <w:tcW w:w="1812" w:type="dxa"/>
            <w:vMerge/>
            <w:shd w:val="clear" w:color="auto" w:fill="auto"/>
          </w:tcPr>
          <w:p w:rsidR="002A0597" w:rsidRDefault="002A0597">
            <w:pPr>
              <w:pStyle w:val="normal0"/>
              <w:widowControl w:val="0"/>
              <w:pBdr>
                <w:top w:val="nil"/>
                <w:left w:val="nil"/>
                <w:bottom w:val="nil"/>
                <w:right w:val="nil"/>
                <w:between w:val="nil"/>
              </w:pBdr>
              <w:spacing w:before="0" w:after="0" w:line="276" w:lineRule="auto"/>
              <w:jc w:val="left"/>
              <w:rPr>
                <w:sz w:val="48"/>
                <w:szCs w:val="48"/>
              </w:rPr>
            </w:pPr>
          </w:p>
        </w:tc>
        <w:tc>
          <w:tcPr>
            <w:tcW w:w="9237" w:type="dxa"/>
            <w:shd w:val="clear" w:color="auto" w:fill="auto"/>
          </w:tcPr>
          <w:p w:rsidR="002A0597" w:rsidRDefault="0012198F">
            <w:pPr>
              <w:pStyle w:val="normal0"/>
              <w:widowControl w:val="0"/>
              <w:pBdr>
                <w:top w:val="nil"/>
                <w:left w:val="nil"/>
                <w:bottom w:val="nil"/>
                <w:right w:val="nil"/>
                <w:between w:val="nil"/>
              </w:pBdr>
              <w:jc w:val="center"/>
              <w:rPr>
                <w:color w:val="000000"/>
                <w:sz w:val="44"/>
                <w:szCs w:val="44"/>
              </w:rPr>
            </w:pPr>
            <w:r>
              <w:rPr>
                <w:color w:val="000000"/>
                <w:sz w:val="44"/>
                <w:szCs w:val="44"/>
              </w:rPr>
              <w:t>Curso 202</w:t>
            </w:r>
            <w:r>
              <w:rPr>
                <w:sz w:val="44"/>
                <w:szCs w:val="44"/>
              </w:rPr>
              <w:t>5</w:t>
            </w:r>
            <w:r>
              <w:rPr>
                <w:color w:val="000000"/>
                <w:sz w:val="44"/>
                <w:szCs w:val="44"/>
              </w:rPr>
              <w:t>/2</w:t>
            </w:r>
            <w:r>
              <w:rPr>
                <w:sz w:val="44"/>
                <w:szCs w:val="44"/>
              </w:rPr>
              <w:t>6</w:t>
            </w:r>
          </w:p>
        </w:tc>
      </w:tr>
    </w:tbl>
    <w:p w:rsidR="002A0597" w:rsidRDefault="002A0597">
      <w:pPr>
        <w:pStyle w:val="Ttulo"/>
        <w:rPr>
          <w:color w:val="213C70"/>
          <w:sz w:val="32"/>
          <w:szCs w:val="32"/>
        </w:rPr>
      </w:pPr>
    </w:p>
    <w:tbl>
      <w:tblPr>
        <w:tblStyle w:val="a0"/>
        <w:tblW w:w="9638" w:type="dxa"/>
        <w:tblInd w:w="-105" w:type="dxa"/>
        <w:tblBorders>
          <w:top w:val="single" w:sz="6" w:space="0" w:color="213C70"/>
          <w:left w:val="single" w:sz="6" w:space="0" w:color="213C70"/>
          <w:bottom w:val="single" w:sz="4" w:space="0" w:color="213C70"/>
          <w:insideH w:val="single" w:sz="4" w:space="0" w:color="213C70"/>
        </w:tblBorders>
        <w:tblLayout w:type="fixed"/>
        <w:tblLook w:val="0000"/>
      </w:tblPr>
      <w:tblGrid>
        <w:gridCol w:w="3237"/>
        <w:gridCol w:w="6401"/>
      </w:tblGrid>
      <w:tr w:rsidR="002A0597">
        <w:trPr>
          <w:cantSplit/>
          <w:tblHeader/>
        </w:trPr>
        <w:tc>
          <w:tcPr>
            <w:tcW w:w="3237" w:type="dxa"/>
            <w:tcBorders>
              <w:top w:val="single" w:sz="6" w:space="0" w:color="213C70"/>
              <w:left w:val="single" w:sz="6" w:space="0" w:color="213C70"/>
              <w:bottom w:val="single" w:sz="4"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Departamento:</w:t>
            </w:r>
          </w:p>
        </w:tc>
        <w:tc>
          <w:tcPr>
            <w:tcW w:w="6401" w:type="dxa"/>
            <w:tcBorders>
              <w:top w:val="single" w:sz="6" w:space="0" w:color="213C70"/>
              <w:left w:val="single" w:sz="4" w:space="0" w:color="213C70"/>
              <w:bottom w:val="single" w:sz="4" w:space="0" w:color="213C70"/>
              <w:right w:val="single" w:sz="6" w:space="0" w:color="213C70"/>
            </w:tcBorders>
            <w:shd w:val="clear" w:color="auto" w:fill="FFFFFF"/>
          </w:tcPr>
          <w:p w:rsidR="002A0597" w:rsidRDefault="0012198F">
            <w:pPr>
              <w:pStyle w:val="normal0"/>
              <w:pBdr>
                <w:top w:val="nil"/>
                <w:left w:val="nil"/>
                <w:bottom w:val="nil"/>
                <w:right w:val="nil"/>
                <w:between w:val="nil"/>
              </w:pBdr>
              <w:rPr>
                <w:color w:val="000000"/>
                <w:sz w:val="36"/>
                <w:szCs w:val="36"/>
              </w:rPr>
            </w:pPr>
            <w:r>
              <w:rPr>
                <w:sz w:val="36"/>
                <w:szCs w:val="36"/>
              </w:rPr>
              <w:t>Física y Química</w:t>
            </w:r>
          </w:p>
        </w:tc>
      </w:tr>
      <w:tr w:rsidR="002A0597">
        <w:trPr>
          <w:cantSplit/>
          <w:tblHeader/>
        </w:trPr>
        <w:tc>
          <w:tcPr>
            <w:tcW w:w="3237" w:type="dxa"/>
            <w:tcBorders>
              <w:left w:val="single" w:sz="6" w:space="0" w:color="213C70"/>
              <w:bottom w:val="single" w:sz="4"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Materia o ámbito:</w:t>
            </w:r>
          </w:p>
        </w:tc>
        <w:tc>
          <w:tcPr>
            <w:tcW w:w="6401" w:type="dxa"/>
            <w:tcBorders>
              <w:left w:val="single" w:sz="4" w:space="0" w:color="213C70"/>
              <w:bottom w:val="single" w:sz="4" w:space="0" w:color="213C70"/>
              <w:right w:val="single" w:sz="6" w:space="0" w:color="213C70"/>
            </w:tcBorders>
            <w:shd w:val="clear" w:color="auto" w:fill="FFFFFF"/>
          </w:tcPr>
          <w:p w:rsidR="002A0597" w:rsidRDefault="007215B4">
            <w:pPr>
              <w:pStyle w:val="normal0"/>
              <w:pBdr>
                <w:top w:val="nil"/>
                <w:left w:val="nil"/>
                <w:bottom w:val="nil"/>
                <w:right w:val="nil"/>
                <w:between w:val="nil"/>
              </w:pBdr>
              <w:rPr>
                <w:color w:val="000000"/>
                <w:sz w:val="36"/>
                <w:szCs w:val="36"/>
              </w:rPr>
            </w:pPr>
            <w:r>
              <w:rPr>
                <w:sz w:val="36"/>
                <w:szCs w:val="36"/>
              </w:rPr>
              <w:t>Química</w:t>
            </w:r>
          </w:p>
        </w:tc>
      </w:tr>
      <w:tr w:rsidR="002A0597">
        <w:trPr>
          <w:cantSplit/>
          <w:tblHeader/>
        </w:trPr>
        <w:tc>
          <w:tcPr>
            <w:tcW w:w="3237" w:type="dxa"/>
            <w:tcBorders>
              <w:left w:val="single" w:sz="6" w:space="0" w:color="213C70"/>
              <w:bottom w:val="single" w:sz="6"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Curso:</w:t>
            </w:r>
          </w:p>
        </w:tc>
        <w:tc>
          <w:tcPr>
            <w:tcW w:w="6401" w:type="dxa"/>
            <w:tcBorders>
              <w:left w:val="single" w:sz="4" w:space="0" w:color="213C70"/>
              <w:bottom w:val="single" w:sz="6" w:space="0" w:color="213C70"/>
              <w:right w:val="single" w:sz="6" w:space="0" w:color="213C70"/>
            </w:tcBorders>
            <w:shd w:val="clear" w:color="auto" w:fill="auto"/>
          </w:tcPr>
          <w:p w:rsidR="002A0597" w:rsidRDefault="0012198F">
            <w:pPr>
              <w:pStyle w:val="normal0"/>
              <w:pBdr>
                <w:top w:val="nil"/>
                <w:left w:val="nil"/>
                <w:bottom w:val="nil"/>
                <w:right w:val="nil"/>
                <w:between w:val="nil"/>
              </w:pBdr>
              <w:rPr>
                <w:color w:val="000000"/>
                <w:sz w:val="36"/>
                <w:szCs w:val="36"/>
              </w:rPr>
            </w:pPr>
            <w:r>
              <w:rPr>
                <w:sz w:val="36"/>
                <w:szCs w:val="36"/>
              </w:rPr>
              <w:t>2º Bachillerato</w:t>
            </w:r>
          </w:p>
        </w:tc>
      </w:tr>
    </w:tbl>
    <w:p w:rsidR="002A0597" w:rsidRDefault="002A0597">
      <w:pPr>
        <w:pStyle w:val="normal0"/>
        <w:rPr>
          <w:rFonts w:ascii="Liberation Sans" w:eastAsia="Liberation Sans" w:hAnsi="Liberation Sans" w:cs="Liberation Sans"/>
          <w:b/>
          <w:color w:val="213C70"/>
          <w:sz w:val="32"/>
          <w:szCs w:val="32"/>
        </w:rPr>
      </w:pPr>
    </w:p>
    <w:tbl>
      <w:tblPr>
        <w:tblStyle w:val="a1"/>
        <w:tblW w:w="9638" w:type="dxa"/>
        <w:tblInd w:w="-105" w:type="dxa"/>
        <w:tblBorders>
          <w:top w:val="single" w:sz="6" w:space="0" w:color="213C70"/>
          <w:left w:val="single" w:sz="6" w:space="0" w:color="213C70"/>
          <w:bottom w:val="single" w:sz="4" w:space="0" w:color="213C70"/>
          <w:right w:val="single" w:sz="6" w:space="0" w:color="213C70"/>
          <w:insideH w:val="single" w:sz="4" w:space="0" w:color="213C70"/>
          <w:insideV w:val="single" w:sz="6" w:space="0" w:color="213C70"/>
        </w:tblBorders>
        <w:tblLayout w:type="fixed"/>
        <w:tblLook w:val="0000"/>
      </w:tblPr>
      <w:tblGrid>
        <w:gridCol w:w="9638"/>
      </w:tblGrid>
      <w:tr w:rsidR="002A0597">
        <w:trPr>
          <w:cantSplit/>
          <w:tblHeader/>
        </w:trPr>
        <w:tc>
          <w:tcPr>
            <w:tcW w:w="9638" w:type="dxa"/>
            <w:tcBorders>
              <w:top w:val="single" w:sz="6" w:space="0" w:color="213C70"/>
              <w:left w:val="single" w:sz="6" w:space="0" w:color="213C70"/>
              <w:bottom w:val="single" w:sz="4" w:space="0" w:color="213C70"/>
              <w:right w:val="single" w:sz="6"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Procedimientos e instrumentos de evaluación</w:t>
            </w:r>
          </w:p>
        </w:tc>
      </w:tr>
      <w:tr w:rsidR="002A0597">
        <w:trPr>
          <w:cantSplit/>
          <w:tblHeader/>
        </w:trPr>
        <w:tc>
          <w:tcPr>
            <w:tcW w:w="9638" w:type="dxa"/>
            <w:tcBorders>
              <w:left w:val="single" w:sz="6" w:space="0" w:color="213C70"/>
              <w:bottom w:val="single" w:sz="4" w:space="0" w:color="213C70"/>
              <w:right w:val="single" w:sz="6" w:space="0" w:color="213C70"/>
            </w:tcBorders>
            <w:shd w:val="clear" w:color="auto" w:fill="auto"/>
          </w:tcPr>
          <w:p w:rsidR="002A0597" w:rsidRDefault="001219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00" w:after="0" w:line="360" w:lineRule="auto"/>
              <w:rPr>
                <w:color w:val="000000"/>
              </w:rPr>
            </w:pPr>
            <w:r>
              <w:rPr>
                <w:rFonts w:ascii="Helvetica Neue" w:eastAsia="Helvetica Neue" w:hAnsi="Helvetica Neue" w:cs="Helvetica Neue"/>
                <w:sz w:val="22"/>
                <w:szCs w:val="22"/>
              </w:rPr>
              <w:t>Pruebas escritas (exámenes).</w:t>
            </w:r>
          </w:p>
        </w:tc>
      </w:tr>
      <w:tr w:rsidR="002A0597">
        <w:trPr>
          <w:cantSplit/>
          <w:tblHeader/>
        </w:trPr>
        <w:tc>
          <w:tcPr>
            <w:tcW w:w="9638" w:type="dxa"/>
            <w:tcBorders>
              <w:left w:val="single" w:sz="6" w:space="0" w:color="213C70"/>
              <w:bottom w:val="single" w:sz="4" w:space="0" w:color="213C70"/>
              <w:right w:val="single" w:sz="6" w:space="0" w:color="213C70"/>
            </w:tcBorders>
            <w:shd w:val="clear" w:color="auto" w:fill="auto"/>
          </w:tcPr>
          <w:p w:rsidR="002A0597" w:rsidRDefault="0012198F">
            <w:pPr>
              <w:pStyle w:val="normal0"/>
              <w:rPr>
                <w:color w:val="000000"/>
              </w:rPr>
            </w:pPr>
            <w:r>
              <w:rPr>
                <w:rFonts w:ascii="Helvetica Neue" w:eastAsia="Helvetica Neue" w:hAnsi="Helvetica Neue" w:cs="Helvetica Neue"/>
                <w:sz w:val="22"/>
                <w:szCs w:val="22"/>
              </w:rPr>
              <w:t>Informes de prácticas de laboratorio.</w:t>
            </w:r>
          </w:p>
        </w:tc>
      </w:tr>
    </w:tbl>
    <w:p w:rsidR="002A0597" w:rsidRDefault="002A0597">
      <w:pPr>
        <w:pStyle w:val="normal0"/>
        <w:rPr>
          <w:rFonts w:ascii="Liberation Sans" w:eastAsia="Liberation Sans" w:hAnsi="Liberation Sans" w:cs="Liberation Sans"/>
          <w:b/>
          <w:color w:val="213C70"/>
          <w:sz w:val="32"/>
          <w:szCs w:val="32"/>
        </w:rPr>
      </w:pPr>
    </w:p>
    <w:tbl>
      <w:tblPr>
        <w:tblStyle w:val="a2"/>
        <w:tblW w:w="9638" w:type="dxa"/>
        <w:tblInd w:w="-105" w:type="dxa"/>
        <w:tblBorders>
          <w:top w:val="single" w:sz="6" w:space="0" w:color="213C70"/>
          <w:left w:val="single" w:sz="6" w:space="0" w:color="213C70"/>
          <w:bottom w:val="single" w:sz="4" w:space="0" w:color="213C70"/>
          <w:right w:val="single" w:sz="6" w:space="0" w:color="213C70"/>
          <w:insideH w:val="single" w:sz="4" w:space="0" w:color="213C70"/>
          <w:insideV w:val="single" w:sz="6" w:space="0" w:color="213C70"/>
        </w:tblBorders>
        <w:tblLayout w:type="fixed"/>
        <w:tblLook w:val="0000"/>
      </w:tblPr>
      <w:tblGrid>
        <w:gridCol w:w="9638"/>
      </w:tblGrid>
      <w:tr w:rsidR="002A0597" w:rsidRPr="007215B4">
        <w:trPr>
          <w:cantSplit/>
          <w:tblHeader/>
        </w:trPr>
        <w:tc>
          <w:tcPr>
            <w:tcW w:w="9638" w:type="dxa"/>
            <w:tcBorders>
              <w:top w:val="single" w:sz="6" w:space="0" w:color="213C70"/>
              <w:left w:val="single" w:sz="6" w:space="0" w:color="213C70"/>
              <w:bottom w:val="single" w:sz="4" w:space="0" w:color="213C70"/>
              <w:right w:val="single" w:sz="6" w:space="0" w:color="213C70"/>
            </w:tcBorders>
            <w:shd w:val="clear" w:color="auto" w:fill="DEE2EB"/>
          </w:tcPr>
          <w:p w:rsidR="002A0597" w:rsidRPr="007215B4" w:rsidRDefault="0012198F">
            <w:pPr>
              <w:pStyle w:val="normal0"/>
              <w:pBdr>
                <w:top w:val="nil"/>
                <w:left w:val="nil"/>
                <w:bottom w:val="nil"/>
                <w:right w:val="nil"/>
                <w:between w:val="nil"/>
              </w:pBdr>
              <w:rPr>
                <w:color w:val="3465A4"/>
                <w:sz w:val="36"/>
                <w:szCs w:val="36"/>
              </w:rPr>
            </w:pPr>
            <w:r w:rsidRPr="007215B4">
              <w:rPr>
                <w:color w:val="3465A4"/>
                <w:sz w:val="36"/>
                <w:szCs w:val="36"/>
              </w:rPr>
              <w:t>Criterios de evaluación</w:t>
            </w:r>
          </w:p>
        </w:tc>
      </w:tr>
      <w:tr w:rsidR="002A0597"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7215B4">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1.1. Reconocer la importancia de la Química y sus conexiones con otras materias en el desarrollo de la sociedad, el progreso de la ciencia, la tecnología, la economía y el desarrollo sostenible respetuoso con el medioambiente, identificando los ava</w:t>
            </w:r>
            <w:r w:rsidRPr="007215B4">
              <w:rPr>
                <w:rStyle w:val="Ninguno"/>
                <w:rFonts w:ascii="Linux Biolinum G" w:hAnsi="Linux Biolinum G" w:cs="Linux Biolinum G"/>
                <w:sz w:val="22"/>
                <w:szCs w:val="22"/>
              </w:rPr>
              <w:t>n</w:t>
            </w:r>
            <w:r w:rsidRPr="007215B4">
              <w:rPr>
                <w:rStyle w:val="Ninguno"/>
                <w:rFonts w:ascii="Linux Biolinum G" w:hAnsi="Linux Biolinum G" w:cs="Linux Biolinum G"/>
                <w:sz w:val="22"/>
                <w:szCs w:val="22"/>
              </w:rPr>
              <w:t>ces en el campo de la Química que han sido fundamentales en estos aspectos.</w:t>
            </w:r>
          </w:p>
          <w:p w:rsidR="007215B4" w:rsidRPr="007215B4" w:rsidRDefault="007215B4" w:rsidP="007215B4">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1.2. Describir los principales procesos químicos que suceden en el entorno y las propiedades de los sistemas materiales a partir de los conocimientos, destrezas y actitudes propios de las distintas disciplinas de la Química.</w:t>
            </w:r>
          </w:p>
          <w:p w:rsidR="002A0597" w:rsidRPr="007215B4" w:rsidRDefault="007215B4" w:rsidP="007215B4">
            <w:pPr>
              <w:pStyle w:val="normal0"/>
              <w:spacing w:before="0" w:after="0"/>
              <w:jc w:val="left"/>
              <w:rPr>
                <w:rFonts w:eastAsia="Helvetica Neue"/>
                <w:sz w:val="22"/>
                <w:szCs w:val="22"/>
              </w:rPr>
            </w:pPr>
            <w:r w:rsidRPr="007215B4">
              <w:rPr>
                <w:rStyle w:val="Ninguno"/>
                <w:sz w:val="22"/>
                <w:szCs w:val="22"/>
              </w:rPr>
              <w:t>1.3. Reconocer la naturaleza experimental e interdisciplinar de la Química y su influencia en la investigación científica y en los ámbitos económico y laboral actuales, considerando los hechos empíricos y sus aplicaciones en otros campos del conoc</w:t>
            </w:r>
            <w:r w:rsidRPr="007215B4">
              <w:rPr>
                <w:rStyle w:val="Ninguno"/>
                <w:sz w:val="22"/>
                <w:szCs w:val="22"/>
              </w:rPr>
              <w:t>i</w:t>
            </w:r>
            <w:r w:rsidRPr="007215B4">
              <w:rPr>
                <w:rStyle w:val="Ninguno"/>
                <w:sz w:val="22"/>
                <w:szCs w:val="22"/>
              </w:rPr>
              <w:t>miento y la actividad humana.</w:t>
            </w:r>
          </w:p>
        </w:tc>
      </w:tr>
      <w:tr w:rsidR="007215B4"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2.1. Relacionar los principios de la Química con los principales problemas de la actualidad asociados al desarrollo de la ciencia y la tecnología, analizando cómo se comunican a través de los medios de comunicación o son observados en la exp</w:t>
            </w:r>
            <w:r w:rsidRPr="007215B4">
              <w:rPr>
                <w:rStyle w:val="Ninguno"/>
                <w:rFonts w:ascii="Linux Biolinum G" w:hAnsi="Linux Biolinum G" w:cs="Linux Biolinum G"/>
                <w:sz w:val="22"/>
                <w:szCs w:val="22"/>
              </w:rPr>
              <w:t>e</w:t>
            </w:r>
            <w:r w:rsidRPr="007215B4">
              <w:rPr>
                <w:rStyle w:val="Ninguno"/>
                <w:rFonts w:ascii="Linux Biolinum G" w:hAnsi="Linux Biolinum G" w:cs="Linux Biolinum G"/>
                <w:sz w:val="22"/>
                <w:szCs w:val="22"/>
              </w:rPr>
              <w:t>riencia cotidiana.</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2.2. Reconocer y comunicar que las bases de la Química constituyen un cuerpo de conocimiento imprescindible en un marco contextual de estudio y discusión</w:t>
            </w:r>
          </w:p>
          <w:p w:rsidR="007215B4" w:rsidRPr="007215B4" w:rsidRDefault="007215B4" w:rsidP="00BB5E76">
            <w:pPr>
              <w:pStyle w:val="Estilodetabla2A"/>
              <w:rPr>
                <w:rFonts w:ascii="Linux Biolinum G" w:hAnsi="Linux Biolinum G" w:cs="Linux Biolinum G"/>
                <w:sz w:val="22"/>
                <w:szCs w:val="22"/>
              </w:rPr>
            </w:pPr>
            <w:r w:rsidRPr="007215B4">
              <w:rPr>
                <w:rStyle w:val="Ninguno"/>
                <w:rFonts w:ascii="Linux Biolinum G" w:hAnsi="Linux Biolinum G" w:cs="Linux Biolinum G"/>
                <w:sz w:val="22"/>
                <w:szCs w:val="22"/>
              </w:rPr>
              <w:t>2.3. Aplicar de manera informada, coherente y razonada los modelos y leyes de la Química, explicando y prediciendo las consecuencias de experimentos, fenómenos naturales, procesos industriales y descubrimientos científicos.</w:t>
            </w:r>
          </w:p>
        </w:tc>
      </w:tr>
      <w:tr w:rsidR="007215B4"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lastRenderedPageBreak/>
              <w:t>3.1. Utilizar correctamente las normas de nomenclatura de la IUPAC como base de un lenguaje universal para la Química que permita una comunicación efectiva en toda la comunidad científica, aplicando dichas normas al reconocimiento y escritura de fórmulas y nombres de diferentes especies Químicas.</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3.2. Emplear con rigor herramientas matemáticas para apoyar el desarrollo del pensamiento científico que se alcanza con el estudio de la Química, aplicando estas herramientas en la resolución de problemas usando ecuaciones, unidades, oper</w:t>
            </w:r>
            <w:r w:rsidRPr="007215B4">
              <w:rPr>
                <w:rStyle w:val="Ninguno"/>
                <w:rFonts w:ascii="Linux Biolinum G" w:hAnsi="Linux Biolinum G" w:cs="Linux Biolinum G"/>
                <w:sz w:val="22"/>
                <w:szCs w:val="22"/>
              </w:rPr>
              <w:t>a</w:t>
            </w:r>
            <w:r w:rsidRPr="007215B4">
              <w:rPr>
                <w:rStyle w:val="Ninguno"/>
                <w:rFonts w:ascii="Linux Biolinum G" w:hAnsi="Linux Biolinum G" w:cs="Linux Biolinum G"/>
                <w:sz w:val="22"/>
                <w:szCs w:val="22"/>
              </w:rPr>
              <w:t>ciones, etc.</w:t>
            </w:r>
          </w:p>
          <w:p w:rsidR="007215B4" w:rsidRPr="007215B4" w:rsidRDefault="007215B4" w:rsidP="00BB5E76">
            <w:pPr>
              <w:pStyle w:val="Estilodetabla2A"/>
              <w:rPr>
                <w:rFonts w:ascii="Linux Biolinum G" w:hAnsi="Linux Biolinum G" w:cs="Linux Biolinum G"/>
                <w:sz w:val="22"/>
                <w:szCs w:val="22"/>
              </w:rPr>
            </w:pPr>
            <w:r w:rsidRPr="007215B4">
              <w:rPr>
                <w:rStyle w:val="Ninguno"/>
                <w:rFonts w:ascii="Linux Biolinum G" w:hAnsi="Linux Biolinum G" w:cs="Linux Biolinum G"/>
                <w:sz w:val="22"/>
                <w:szCs w:val="22"/>
              </w:rPr>
              <w:t>3.3. Practicar y hacer respetar las normas de seguridad relacionadas con la manip</w:t>
            </w:r>
            <w:r w:rsidRPr="007215B4">
              <w:rPr>
                <w:rStyle w:val="Ninguno"/>
                <w:rFonts w:ascii="Linux Biolinum G" w:hAnsi="Linux Biolinum G" w:cs="Linux Biolinum G"/>
                <w:sz w:val="22"/>
                <w:szCs w:val="22"/>
              </w:rPr>
              <w:t>u</w:t>
            </w:r>
            <w:r w:rsidRPr="007215B4">
              <w:rPr>
                <w:rStyle w:val="Ninguno"/>
                <w:rFonts w:ascii="Linux Biolinum G" w:hAnsi="Linux Biolinum G" w:cs="Linux Biolinum G"/>
                <w:sz w:val="22"/>
                <w:szCs w:val="22"/>
              </w:rPr>
              <w:t>lación de sustancias Químicas en el laboratorio y en otros entornos, así como los procedimientos para la correcta gestión y eliminación de los residuos, utilizando correctamente los códigos de comunicación característicos de la Química.</w:t>
            </w:r>
          </w:p>
        </w:tc>
      </w:tr>
      <w:tr w:rsidR="007215B4"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4.1. Analizar la composición Química de los sistemas materiales que se encuentran en el entorno más próximo, en el medio natural y en el entorno industrial y tecnol</w:t>
            </w:r>
            <w:r w:rsidRPr="007215B4">
              <w:rPr>
                <w:rStyle w:val="Ninguno"/>
                <w:rFonts w:ascii="Linux Biolinum G" w:hAnsi="Linux Biolinum G" w:cs="Linux Biolinum G"/>
                <w:sz w:val="22"/>
                <w:szCs w:val="22"/>
              </w:rPr>
              <w:t>ó</w:t>
            </w:r>
            <w:r w:rsidRPr="007215B4">
              <w:rPr>
                <w:rStyle w:val="Ninguno"/>
                <w:rFonts w:ascii="Linux Biolinum G" w:hAnsi="Linux Biolinum G" w:cs="Linux Biolinum G"/>
                <w:sz w:val="22"/>
                <w:szCs w:val="22"/>
              </w:rPr>
              <w:t>gico, demostrando que sus propiedades, aplicaciones y beneficios están basados en los principios de la Química.</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4.2. Argumentar de manera informada, aplicando las teorías y leyes de la Química, que los efectos negativos de determinadas sustancias en el ambiente y en la salud se deben al mal uso que se hace de esos productos o negligencia, y no a la ciencia Química en sí.</w:t>
            </w:r>
          </w:p>
          <w:p w:rsidR="007215B4" w:rsidRPr="007215B4" w:rsidRDefault="007215B4" w:rsidP="00BB5E76">
            <w:pPr>
              <w:pStyle w:val="Estilodetabla2A"/>
              <w:rPr>
                <w:rFonts w:ascii="Linux Biolinum G" w:hAnsi="Linux Biolinum G" w:cs="Linux Biolinum G"/>
                <w:sz w:val="22"/>
                <w:szCs w:val="22"/>
              </w:rPr>
            </w:pPr>
            <w:r w:rsidRPr="007215B4">
              <w:rPr>
                <w:rStyle w:val="Ninguno"/>
                <w:rFonts w:ascii="Linux Biolinum G" w:hAnsi="Linux Biolinum G" w:cs="Linux Biolinum G"/>
                <w:sz w:val="22"/>
                <w:szCs w:val="22"/>
              </w:rPr>
              <w:t>4.3. Explicar, empleando los conocimientos científicos adecuados, cuáles son los beneficios de los numerosos productos de la tecnología Química y cómo su empleo y aplicación han contribuido al progreso de la sociedad.</w:t>
            </w:r>
          </w:p>
        </w:tc>
      </w:tr>
      <w:tr w:rsidR="007215B4"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5.1. Reconocer la importante contribución en la Química del trabajo colaborativo entre especialistas de diferentes disciplinas científicas poniendo de relieve las c</w:t>
            </w:r>
            <w:r w:rsidRPr="007215B4">
              <w:rPr>
                <w:rStyle w:val="Ninguno"/>
                <w:rFonts w:ascii="Linux Biolinum G" w:hAnsi="Linux Biolinum G" w:cs="Linux Biolinum G"/>
                <w:sz w:val="22"/>
                <w:szCs w:val="22"/>
              </w:rPr>
              <w:t>o</w:t>
            </w:r>
            <w:r w:rsidRPr="007215B4">
              <w:rPr>
                <w:rStyle w:val="Ninguno"/>
                <w:rFonts w:ascii="Linux Biolinum G" w:hAnsi="Linux Biolinum G" w:cs="Linux Biolinum G"/>
                <w:sz w:val="22"/>
                <w:szCs w:val="22"/>
              </w:rPr>
              <w:t>nexiones entre las leyes y teorías propias de cada disciplina.</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5.2. Reconocer la aportación de la Química al desarrollo del pensamiento científico y a la autonomía de pensamiento crítico a través de la puesta en práctica de las metodologías de trabajo propias de las disciplinas científicas.</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5.3. Resolver problemas relacionados con la Química y estudiar situaciones relacionadas con esta ciencia, reconociendo la importancia de la contribución particular de cada miembro del equipo y la diversidad de pensamiento y consolidando habilid</w:t>
            </w:r>
            <w:r w:rsidRPr="007215B4">
              <w:rPr>
                <w:rStyle w:val="Ninguno"/>
                <w:rFonts w:ascii="Linux Biolinum G" w:hAnsi="Linux Biolinum G" w:cs="Linux Biolinum G"/>
                <w:sz w:val="22"/>
                <w:szCs w:val="22"/>
              </w:rPr>
              <w:t>a</w:t>
            </w:r>
            <w:r w:rsidRPr="007215B4">
              <w:rPr>
                <w:rStyle w:val="Ninguno"/>
                <w:rFonts w:ascii="Linux Biolinum G" w:hAnsi="Linux Biolinum G" w:cs="Linux Biolinum G"/>
                <w:sz w:val="22"/>
                <w:szCs w:val="22"/>
              </w:rPr>
              <w:t>des sociales positivas en el seno de equipos de trabajo.</w:t>
            </w:r>
          </w:p>
          <w:p w:rsidR="007215B4" w:rsidRPr="007215B4" w:rsidRDefault="007215B4" w:rsidP="00BB5E76">
            <w:pPr>
              <w:pStyle w:val="Estilodetabla2A"/>
              <w:rPr>
                <w:rFonts w:ascii="Linux Biolinum G" w:hAnsi="Linux Biolinum G" w:cs="Linux Biolinum G"/>
                <w:sz w:val="22"/>
                <w:szCs w:val="22"/>
              </w:rPr>
            </w:pPr>
            <w:r w:rsidRPr="007215B4">
              <w:rPr>
                <w:rStyle w:val="Ninguno"/>
                <w:rFonts w:ascii="Linux Biolinum G" w:hAnsi="Linux Biolinum G" w:cs="Linux Biolinum G"/>
                <w:sz w:val="22"/>
                <w:szCs w:val="22"/>
              </w:rPr>
              <w:t>5.4. Representar y visualizar de forma eficiente los conceptos de Química que pr</w:t>
            </w:r>
            <w:r w:rsidRPr="007215B4">
              <w:rPr>
                <w:rStyle w:val="Ninguno"/>
                <w:rFonts w:ascii="Linux Biolinum G" w:hAnsi="Linux Biolinum G" w:cs="Linux Biolinum G"/>
                <w:sz w:val="22"/>
                <w:szCs w:val="22"/>
              </w:rPr>
              <w:t>e</w:t>
            </w:r>
            <w:r w:rsidRPr="007215B4">
              <w:rPr>
                <w:rStyle w:val="Ninguno"/>
                <w:rFonts w:ascii="Linux Biolinum G" w:hAnsi="Linux Biolinum G" w:cs="Linux Biolinum G"/>
                <w:sz w:val="22"/>
                <w:szCs w:val="22"/>
              </w:rPr>
              <w:t>senten mayores dificultades utilizando herramientas digitales y recursos variados, incluyendo experiencias de laboratorio real y virtual.</w:t>
            </w:r>
          </w:p>
        </w:tc>
      </w:tr>
      <w:tr w:rsidR="007215B4" w:rsidRPr="007215B4">
        <w:trPr>
          <w:cantSplit/>
          <w:tblHeader/>
        </w:trPr>
        <w:tc>
          <w:tcPr>
            <w:tcW w:w="9638" w:type="dxa"/>
            <w:tcBorders>
              <w:left w:val="single" w:sz="6" w:space="0" w:color="213C70"/>
              <w:bottom w:val="single" w:sz="4" w:space="0" w:color="213C70"/>
              <w:right w:val="single" w:sz="6" w:space="0" w:color="213C70"/>
            </w:tcBorders>
            <w:shd w:val="clear" w:color="auto" w:fill="auto"/>
          </w:tcPr>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5.1. Reconocer la importante contribución en la Química del trabajo colaborativo entre especialistas de diferentes disciplinas científicas poniendo de relieve las c</w:t>
            </w:r>
            <w:r w:rsidRPr="007215B4">
              <w:rPr>
                <w:rStyle w:val="Ninguno"/>
                <w:rFonts w:ascii="Linux Biolinum G" w:hAnsi="Linux Biolinum G" w:cs="Linux Biolinum G"/>
                <w:sz w:val="22"/>
                <w:szCs w:val="22"/>
              </w:rPr>
              <w:t>o</w:t>
            </w:r>
            <w:r w:rsidRPr="007215B4">
              <w:rPr>
                <w:rStyle w:val="Ninguno"/>
                <w:rFonts w:ascii="Linux Biolinum G" w:hAnsi="Linux Biolinum G" w:cs="Linux Biolinum G"/>
                <w:sz w:val="22"/>
                <w:szCs w:val="22"/>
              </w:rPr>
              <w:t>nexiones entre las leyes y teorías propias de cada disciplina.</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5.2. Reconocer la aportación de la Química al desarrollo del pensamiento científico y a la autonomía de pensamiento crítico a través de la puesta en práctica de las metodologías de trabajo propias de las disciplinas científicas.</w:t>
            </w:r>
          </w:p>
          <w:p w:rsidR="007215B4" w:rsidRPr="007215B4" w:rsidRDefault="007215B4" w:rsidP="00BB5E76">
            <w:pPr>
              <w:pStyle w:val="Estilodetabla2A"/>
              <w:spacing w:line="240" w:lineRule="auto"/>
              <w:rPr>
                <w:rFonts w:ascii="Linux Biolinum G" w:hAnsi="Linux Biolinum G" w:cs="Linux Biolinum G"/>
                <w:sz w:val="22"/>
                <w:szCs w:val="22"/>
              </w:rPr>
            </w:pPr>
            <w:r w:rsidRPr="007215B4">
              <w:rPr>
                <w:rStyle w:val="Ninguno"/>
                <w:rFonts w:ascii="Linux Biolinum G" w:hAnsi="Linux Biolinum G" w:cs="Linux Biolinum G"/>
                <w:sz w:val="22"/>
                <w:szCs w:val="22"/>
              </w:rPr>
              <w:t>5.3. Resolver problemas relacionados con la Química y estudiar situaciones relacionadas con esta ciencia, reconociendo la importancia de la contribución particular de cada miembro del equipo y la diversidad de pensamiento y consolidando habilid</w:t>
            </w:r>
            <w:r w:rsidRPr="007215B4">
              <w:rPr>
                <w:rStyle w:val="Ninguno"/>
                <w:rFonts w:ascii="Linux Biolinum G" w:hAnsi="Linux Biolinum G" w:cs="Linux Biolinum G"/>
                <w:sz w:val="22"/>
                <w:szCs w:val="22"/>
              </w:rPr>
              <w:t>a</w:t>
            </w:r>
            <w:r w:rsidRPr="007215B4">
              <w:rPr>
                <w:rStyle w:val="Ninguno"/>
                <w:rFonts w:ascii="Linux Biolinum G" w:hAnsi="Linux Biolinum G" w:cs="Linux Biolinum G"/>
                <w:sz w:val="22"/>
                <w:szCs w:val="22"/>
              </w:rPr>
              <w:t>des sociales positivas en el seno de equipos de trabajo.</w:t>
            </w:r>
          </w:p>
          <w:p w:rsidR="007215B4" w:rsidRPr="007215B4" w:rsidRDefault="007215B4" w:rsidP="00BB5E76">
            <w:pPr>
              <w:pStyle w:val="Estilodetabla2A"/>
              <w:rPr>
                <w:rFonts w:ascii="Linux Biolinum G" w:hAnsi="Linux Biolinum G" w:cs="Linux Biolinum G"/>
                <w:sz w:val="22"/>
                <w:szCs w:val="22"/>
              </w:rPr>
            </w:pPr>
            <w:r w:rsidRPr="007215B4">
              <w:rPr>
                <w:rStyle w:val="Ninguno"/>
                <w:rFonts w:ascii="Linux Biolinum G" w:hAnsi="Linux Biolinum G" w:cs="Linux Biolinum G"/>
                <w:sz w:val="22"/>
                <w:szCs w:val="22"/>
              </w:rPr>
              <w:t>5.4. Representar y visualizar de forma eficiente los conceptos de Química que pr</w:t>
            </w:r>
            <w:r w:rsidRPr="007215B4">
              <w:rPr>
                <w:rStyle w:val="Ninguno"/>
                <w:rFonts w:ascii="Linux Biolinum G" w:hAnsi="Linux Biolinum G" w:cs="Linux Biolinum G"/>
                <w:sz w:val="22"/>
                <w:szCs w:val="22"/>
              </w:rPr>
              <w:t>e</w:t>
            </w:r>
            <w:r w:rsidRPr="007215B4">
              <w:rPr>
                <w:rStyle w:val="Ninguno"/>
                <w:rFonts w:ascii="Linux Biolinum G" w:hAnsi="Linux Biolinum G" w:cs="Linux Biolinum G"/>
                <w:sz w:val="22"/>
                <w:szCs w:val="22"/>
              </w:rPr>
              <w:t>senten mayores dificultades utilizando herramientas digitales y recursos variados, incluyendo experiencias de laboratorio real y virtual.</w:t>
            </w:r>
          </w:p>
        </w:tc>
      </w:tr>
    </w:tbl>
    <w:p w:rsidR="002A0597" w:rsidRDefault="002A0597">
      <w:pPr>
        <w:pStyle w:val="normal0"/>
      </w:pPr>
    </w:p>
    <w:tbl>
      <w:tblPr>
        <w:tblStyle w:val="a3"/>
        <w:tblW w:w="9638" w:type="dxa"/>
        <w:tblInd w:w="-105" w:type="dxa"/>
        <w:tblBorders>
          <w:top w:val="single" w:sz="6" w:space="0" w:color="213C70"/>
          <w:left w:val="single" w:sz="6" w:space="0" w:color="213C70"/>
          <w:bottom w:val="single" w:sz="4" w:space="0" w:color="213C70"/>
          <w:right w:val="single" w:sz="6" w:space="0" w:color="213C70"/>
          <w:insideH w:val="single" w:sz="4" w:space="0" w:color="213C70"/>
          <w:insideV w:val="single" w:sz="6" w:space="0" w:color="213C70"/>
        </w:tblBorders>
        <w:tblLayout w:type="fixed"/>
        <w:tblLook w:val="0000"/>
      </w:tblPr>
      <w:tblGrid>
        <w:gridCol w:w="9638"/>
      </w:tblGrid>
      <w:tr w:rsidR="002A0597">
        <w:trPr>
          <w:cantSplit/>
          <w:tblHeader/>
        </w:trPr>
        <w:tc>
          <w:tcPr>
            <w:tcW w:w="9638" w:type="dxa"/>
            <w:tcBorders>
              <w:top w:val="single" w:sz="6" w:space="0" w:color="213C70"/>
              <w:left w:val="single" w:sz="6" w:space="0" w:color="213C70"/>
              <w:bottom w:val="single" w:sz="4" w:space="0" w:color="213C70"/>
              <w:right w:val="single" w:sz="6"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Criterios de calificación</w:t>
            </w:r>
          </w:p>
        </w:tc>
      </w:tr>
      <w:tr w:rsidR="002A0597">
        <w:trPr>
          <w:cantSplit/>
          <w:tblHeader/>
        </w:trPr>
        <w:tc>
          <w:tcPr>
            <w:tcW w:w="9638" w:type="dxa"/>
            <w:tcBorders>
              <w:left w:val="single" w:sz="6" w:space="0" w:color="213C70"/>
              <w:bottom w:val="single" w:sz="4" w:space="0" w:color="213C70"/>
              <w:right w:val="single" w:sz="6" w:space="0" w:color="213C70"/>
            </w:tcBorders>
            <w:shd w:val="clear" w:color="auto" w:fill="auto"/>
          </w:tcPr>
          <w:p w:rsidR="002A0597" w:rsidRPr="007215B4" w:rsidRDefault="0012198F">
            <w:pPr>
              <w:pStyle w:val="normal0"/>
              <w:pBdr>
                <w:top w:val="none" w:sz="0" w:space="0" w:color="000000"/>
                <w:left w:val="none" w:sz="0" w:space="0" w:color="000000"/>
                <w:bottom w:val="none" w:sz="0" w:space="0" w:color="000000"/>
                <w:right w:val="none" w:sz="0" w:space="0" w:color="000000"/>
                <w:between w:val="none" w:sz="0" w:space="0" w:color="000000"/>
              </w:pBdr>
              <w:spacing w:before="200" w:after="0" w:line="360" w:lineRule="auto"/>
              <w:rPr>
                <w:rFonts w:eastAsia="Helvetica Neue"/>
                <w:sz w:val="22"/>
                <w:szCs w:val="22"/>
              </w:rPr>
            </w:pPr>
            <w:r w:rsidRPr="007215B4">
              <w:rPr>
                <w:rFonts w:eastAsia="Helvetica Neue"/>
                <w:sz w:val="22"/>
                <w:szCs w:val="22"/>
              </w:rPr>
              <w:t>La nota de cada evaluación se calculará ponderando con:</w:t>
            </w:r>
          </w:p>
          <w:p w:rsidR="002A0597" w:rsidRPr="007215B4" w:rsidRDefault="007215B4" w:rsidP="007215B4">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before="200" w:after="0" w:line="360" w:lineRule="auto"/>
              <w:rPr>
                <w:rFonts w:eastAsia="Helvetica Neue"/>
                <w:sz w:val="22"/>
                <w:szCs w:val="22"/>
              </w:rPr>
            </w:pPr>
            <w:r w:rsidRPr="007215B4">
              <w:rPr>
                <w:rFonts w:eastAsia="Helvetica Neue"/>
                <w:sz w:val="22"/>
                <w:szCs w:val="22"/>
              </w:rPr>
              <w:t>90</w:t>
            </w:r>
            <w:r w:rsidR="0012198F" w:rsidRPr="007215B4">
              <w:rPr>
                <w:rFonts w:eastAsia="Helvetica Neue"/>
                <w:sz w:val="22"/>
                <w:szCs w:val="22"/>
              </w:rPr>
              <w:t xml:space="preserve"> % </w:t>
            </w:r>
            <w:r w:rsidRPr="007215B4">
              <w:rPr>
                <w:rFonts w:eastAsia="Helvetica Neue"/>
                <w:sz w:val="22"/>
                <w:szCs w:val="22"/>
              </w:rPr>
              <w:t>exámenes (dos por evaluación, con el mismo peso)</w:t>
            </w:r>
          </w:p>
          <w:p w:rsidR="002A0597" w:rsidRPr="007215B4" w:rsidRDefault="0012198F">
            <w:pPr>
              <w:pStyle w:val="normal0"/>
              <w:numPr>
                <w:ilvl w:val="0"/>
                <w:numId w:val="1"/>
              </w:numPr>
              <w:pBdr>
                <w:top w:val="none" w:sz="0" w:space="0" w:color="000000"/>
                <w:left w:val="none" w:sz="0" w:space="0" w:color="000000"/>
                <w:bottom w:val="none" w:sz="0" w:space="0" w:color="000000"/>
                <w:right w:val="none" w:sz="0" w:space="0" w:color="000000"/>
                <w:between w:val="none" w:sz="0" w:space="0" w:color="000000"/>
              </w:pBdr>
              <w:spacing w:before="200" w:after="0" w:line="360" w:lineRule="auto"/>
              <w:rPr>
                <w:rFonts w:eastAsia="Helvetica Neue"/>
                <w:sz w:val="22"/>
                <w:szCs w:val="22"/>
              </w:rPr>
            </w:pPr>
            <w:r w:rsidRPr="007215B4">
              <w:rPr>
                <w:rFonts w:eastAsia="Helvetica Neue"/>
                <w:sz w:val="22"/>
                <w:szCs w:val="22"/>
              </w:rPr>
              <w:t>10 % el informe o informes de laboratorio. </w:t>
            </w:r>
          </w:p>
          <w:p w:rsidR="00E93350" w:rsidRPr="007215B4" w:rsidRDefault="0012198F">
            <w:pPr>
              <w:pStyle w:val="normal0"/>
              <w:pBdr>
                <w:top w:val="none" w:sz="0" w:space="0" w:color="000000"/>
                <w:left w:val="none" w:sz="0" w:space="0" w:color="000000"/>
                <w:bottom w:val="none" w:sz="0" w:space="0" w:color="000000"/>
                <w:right w:val="none" w:sz="0" w:space="0" w:color="000000"/>
                <w:between w:val="none" w:sz="0" w:space="0" w:color="000000"/>
              </w:pBdr>
              <w:spacing w:before="0" w:after="0" w:line="360" w:lineRule="auto"/>
              <w:rPr>
                <w:rFonts w:eastAsia="Helvetica Neue"/>
                <w:sz w:val="22"/>
                <w:szCs w:val="22"/>
              </w:rPr>
            </w:pPr>
            <w:r w:rsidRPr="007215B4">
              <w:rPr>
                <w:rFonts w:eastAsia="Helvetica Neue"/>
                <w:sz w:val="22"/>
                <w:szCs w:val="22"/>
              </w:rPr>
              <w:t>En caso de que el alumnado no asista a la realización del examen en la fecha prevista, el docente únicamente le repetirá el examen si entrega un justificante con un motivo de peso y firmado por los padres.</w:t>
            </w:r>
          </w:p>
        </w:tc>
      </w:tr>
      <w:tr w:rsidR="002A0597">
        <w:trPr>
          <w:cantSplit/>
          <w:tblHeader/>
        </w:trPr>
        <w:tc>
          <w:tcPr>
            <w:tcW w:w="9638" w:type="dxa"/>
            <w:tcBorders>
              <w:left w:val="single" w:sz="6" w:space="0" w:color="213C70"/>
              <w:bottom w:val="single" w:sz="4" w:space="0" w:color="213C70"/>
              <w:right w:val="single" w:sz="6" w:space="0" w:color="213C70"/>
            </w:tcBorders>
            <w:shd w:val="clear" w:color="auto" w:fill="auto"/>
          </w:tcPr>
          <w:p w:rsidR="002A0597" w:rsidRPr="007215B4" w:rsidRDefault="0012198F">
            <w:pPr>
              <w:pStyle w:val="normal0"/>
              <w:pBdr>
                <w:top w:val="none" w:sz="0" w:space="0" w:color="000000"/>
                <w:left w:val="none" w:sz="0" w:space="0" w:color="000000"/>
                <w:bottom w:val="none" w:sz="0" w:space="0" w:color="000000"/>
                <w:right w:val="none" w:sz="0" w:space="0" w:color="000000"/>
                <w:between w:val="none" w:sz="0" w:space="0" w:color="000000"/>
              </w:pBdr>
              <w:spacing w:before="200" w:after="0" w:line="360" w:lineRule="auto"/>
              <w:rPr>
                <w:color w:val="000000"/>
              </w:rPr>
            </w:pPr>
            <w:r w:rsidRPr="007215B4">
              <w:rPr>
                <w:rFonts w:eastAsia="Helvetica Neue"/>
                <w:sz w:val="22"/>
                <w:szCs w:val="22"/>
              </w:rPr>
              <w:t>Nota importante: para que se considere la nota de la parte práctica (laboratorio) es requisito indispensable que el alumnado haya obtenido una nota igual o superior a 5 en los exámenes (media ponderada de los parciales y global). Todo el alumnado que no haya obtenido una nota igual o superior a 5 tendrán que realizar una recuperación tras la evaluación, excepto en la tercera, que se realizará antes de la evaluación final ordinaria de mayo. La nota de esta recuperación sustituirá a la nota anterior, siempre y cuando se mejore la nota. </w:t>
            </w:r>
          </w:p>
        </w:tc>
      </w:tr>
      <w:tr w:rsidR="002A0597">
        <w:trPr>
          <w:cantSplit/>
          <w:tblHeader/>
        </w:trPr>
        <w:tc>
          <w:tcPr>
            <w:tcW w:w="9638" w:type="dxa"/>
            <w:tcBorders>
              <w:left w:val="single" w:sz="6" w:space="0" w:color="213C70"/>
              <w:bottom w:val="single" w:sz="4" w:space="0" w:color="213C70"/>
              <w:right w:val="single" w:sz="6" w:space="0" w:color="213C70"/>
            </w:tcBorders>
            <w:shd w:val="clear" w:color="auto" w:fill="auto"/>
          </w:tcPr>
          <w:p w:rsidR="002A0597" w:rsidRPr="007215B4" w:rsidRDefault="0012198F">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00" w:after="0" w:line="360" w:lineRule="auto"/>
              <w:rPr>
                <w:color w:val="000000"/>
              </w:rPr>
            </w:pPr>
            <w:r w:rsidRPr="007215B4">
              <w:rPr>
                <w:rFonts w:eastAsia="Helvetica Neue"/>
                <w:sz w:val="22"/>
                <w:szCs w:val="22"/>
              </w:rPr>
              <w:t>La nota final se calcula como la media aritmética de cada una de las evaluaciones.</w:t>
            </w:r>
          </w:p>
        </w:tc>
      </w:tr>
    </w:tbl>
    <w:p w:rsidR="002A0597" w:rsidRDefault="002A0597">
      <w:pPr>
        <w:pStyle w:val="normal0"/>
      </w:pPr>
    </w:p>
    <w:tbl>
      <w:tblPr>
        <w:tblStyle w:val="a4"/>
        <w:tblW w:w="9638" w:type="dxa"/>
        <w:tblInd w:w="-105" w:type="dxa"/>
        <w:tblBorders>
          <w:top w:val="single" w:sz="6" w:space="0" w:color="213C70"/>
          <w:left w:val="single" w:sz="6" w:space="0" w:color="213C70"/>
          <w:bottom w:val="single" w:sz="4" w:space="0" w:color="213C70"/>
          <w:right w:val="single" w:sz="6" w:space="0" w:color="213C70"/>
          <w:insideH w:val="single" w:sz="4" w:space="0" w:color="213C70"/>
          <w:insideV w:val="single" w:sz="6" w:space="0" w:color="213C70"/>
        </w:tblBorders>
        <w:tblLayout w:type="fixed"/>
        <w:tblLook w:val="0000"/>
      </w:tblPr>
      <w:tblGrid>
        <w:gridCol w:w="9638"/>
      </w:tblGrid>
      <w:tr w:rsidR="002A0597">
        <w:trPr>
          <w:cantSplit/>
          <w:tblHeader/>
        </w:trPr>
        <w:tc>
          <w:tcPr>
            <w:tcW w:w="9638" w:type="dxa"/>
            <w:tcBorders>
              <w:top w:val="single" w:sz="6" w:space="0" w:color="213C70"/>
              <w:left w:val="single" w:sz="6" w:space="0" w:color="213C70"/>
              <w:bottom w:val="single" w:sz="4" w:space="0" w:color="213C70"/>
              <w:right w:val="single" w:sz="6"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Criterios de promoción y titulación</w:t>
            </w:r>
          </w:p>
        </w:tc>
      </w:tr>
      <w:tr w:rsidR="002A0597">
        <w:trPr>
          <w:cantSplit/>
          <w:tblHeader/>
        </w:trPr>
        <w:tc>
          <w:tcPr>
            <w:tcW w:w="9638" w:type="dxa"/>
            <w:tcBorders>
              <w:left w:val="single" w:sz="6" w:space="0" w:color="213C70"/>
              <w:bottom w:val="single" w:sz="6" w:space="0" w:color="213C70"/>
              <w:right w:val="single" w:sz="6" w:space="0" w:color="213C70"/>
            </w:tcBorders>
            <w:shd w:val="clear" w:color="auto" w:fill="auto"/>
          </w:tcPr>
          <w:p w:rsidR="002A0597" w:rsidRPr="007215B4" w:rsidRDefault="0012198F">
            <w:pPr>
              <w:pStyle w:val="normal0"/>
              <w:rPr>
                <w:color w:val="000000"/>
                <w:sz w:val="22"/>
                <w:szCs w:val="22"/>
              </w:rPr>
            </w:pPr>
            <w:r w:rsidRPr="007215B4">
              <w:rPr>
                <w:color w:val="000000"/>
                <w:sz w:val="22"/>
                <w:szCs w:val="22"/>
              </w:rPr>
              <w:t xml:space="preserve">Con respecto a la </w:t>
            </w:r>
            <w:r w:rsidRPr="007215B4">
              <w:rPr>
                <w:b/>
                <w:color w:val="000000"/>
                <w:sz w:val="22"/>
                <w:szCs w:val="22"/>
              </w:rPr>
              <w:t>promoción</w:t>
            </w:r>
            <w:r w:rsidRPr="007215B4">
              <w:rPr>
                <w:color w:val="000000"/>
                <w:sz w:val="22"/>
                <w:szCs w:val="22"/>
              </w:rPr>
              <w:t xml:space="preserve"> se seguirá la normativa definida en el artículo 25 (Artículo 25. Promoción y permanencia en la etapa) de la Orden ECD/1173/2022, de 3 de agosto, por la que se aprueban el currículo y las características de la evaluación del Bachillerato y se autoriza su aplicación en los centros docentes de la Comunidad Autónoma de Aragón.</w:t>
            </w:r>
          </w:p>
          <w:p w:rsidR="002A0597" w:rsidRPr="007215B4" w:rsidRDefault="0012198F">
            <w:pPr>
              <w:pStyle w:val="normal0"/>
              <w:rPr>
                <w:color w:val="000000"/>
                <w:sz w:val="22"/>
                <w:szCs w:val="22"/>
              </w:rPr>
            </w:pPr>
            <w:r w:rsidRPr="007215B4">
              <w:rPr>
                <w:color w:val="000000"/>
                <w:sz w:val="22"/>
                <w:szCs w:val="22"/>
              </w:rPr>
              <w:t xml:space="preserve">Con respecto a la </w:t>
            </w:r>
            <w:r w:rsidRPr="007215B4">
              <w:rPr>
                <w:b/>
                <w:color w:val="000000"/>
                <w:sz w:val="22"/>
                <w:szCs w:val="22"/>
              </w:rPr>
              <w:t>titulación</w:t>
            </w:r>
            <w:r w:rsidRPr="007215B4">
              <w:rPr>
                <w:color w:val="000000"/>
                <w:sz w:val="22"/>
                <w:szCs w:val="22"/>
              </w:rPr>
              <w:t xml:space="preserve"> se seguirá la normativa definida en el artículo 26 (Artículo26. Título de Bachiller) de la Orden indicada en el párrafo anterior.</w:t>
            </w:r>
          </w:p>
        </w:tc>
      </w:tr>
    </w:tbl>
    <w:p w:rsidR="002A0597" w:rsidRDefault="002A0597">
      <w:pPr>
        <w:pStyle w:val="normal0"/>
      </w:pPr>
    </w:p>
    <w:tbl>
      <w:tblPr>
        <w:tblStyle w:val="a5"/>
        <w:tblW w:w="9638" w:type="dxa"/>
        <w:tblInd w:w="-105" w:type="dxa"/>
        <w:tblBorders>
          <w:top w:val="single" w:sz="6" w:space="0" w:color="213C70"/>
          <w:left w:val="single" w:sz="6" w:space="0" w:color="213C70"/>
          <w:bottom w:val="single" w:sz="4" w:space="0" w:color="213C70"/>
          <w:right w:val="single" w:sz="6" w:space="0" w:color="213C70"/>
          <w:insideH w:val="single" w:sz="4" w:space="0" w:color="213C70"/>
          <w:insideV w:val="single" w:sz="6" w:space="0" w:color="213C70"/>
        </w:tblBorders>
        <w:tblLayout w:type="fixed"/>
        <w:tblLook w:val="0000"/>
      </w:tblPr>
      <w:tblGrid>
        <w:gridCol w:w="9638"/>
      </w:tblGrid>
      <w:tr w:rsidR="002A0597">
        <w:trPr>
          <w:cantSplit/>
          <w:tblHeader/>
        </w:trPr>
        <w:tc>
          <w:tcPr>
            <w:tcW w:w="9638" w:type="dxa"/>
            <w:tcBorders>
              <w:top w:val="single" w:sz="6" w:space="0" w:color="213C70"/>
              <w:left w:val="single" w:sz="6" w:space="0" w:color="213C70"/>
              <w:bottom w:val="single" w:sz="4" w:space="0" w:color="213C70"/>
              <w:right w:val="single" w:sz="6" w:space="0" w:color="213C70"/>
            </w:tcBorders>
            <w:shd w:val="clear" w:color="auto" w:fill="DEE2EB"/>
          </w:tcPr>
          <w:p w:rsidR="002A0597" w:rsidRDefault="0012198F">
            <w:pPr>
              <w:pStyle w:val="normal0"/>
              <w:pBdr>
                <w:top w:val="nil"/>
                <w:left w:val="nil"/>
                <w:bottom w:val="nil"/>
                <w:right w:val="nil"/>
                <w:between w:val="nil"/>
              </w:pBdr>
              <w:rPr>
                <w:color w:val="3465A4"/>
                <w:sz w:val="36"/>
                <w:szCs w:val="36"/>
              </w:rPr>
            </w:pPr>
            <w:r>
              <w:rPr>
                <w:color w:val="3465A4"/>
                <w:sz w:val="36"/>
                <w:szCs w:val="36"/>
              </w:rPr>
              <w:t>Medidas de intervención educativa que se precisen</w:t>
            </w:r>
          </w:p>
        </w:tc>
      </w:tr>
      <w:tr w:rsidR="002A0597">
        <w:trPr>
          <w:cantSplit/>
          <w:tblHeader/>
        </w:trPr>
        <w:tc>
          <w:tcPr>
            <w:tcW w:w="9638" w:type="dxa"/>
            <w:tcBorders>
              <w:left w:val="single" w:sz="6" w:space="0" w:color="213C70"/>
              <w:bottom w:val="single" w:sz="6" w:space="0" w:color="213C70"/>
              <w:right w:val="single" w:sz="6" w:space="0" w:color="213C70"/>
            </w:tcBorders>
            <w:shd w:val="clear" w:color="auto" w:fill="auto"/>
          </w:tcPr>
          <w:p w:rsidR="002A0597" w:rsidRPr="007215B4" w:rsidRDefault="0012198F">
            <w:pPr>
              <w:pStyle w:val="normal0"/>
              <w:rPr>
                <w:color w:val="000000"/>
              </w:rPr>
            </w:pPr>
            <w:r w:rsidRPr="007215B4">
              <w:rPr>
                <w:color w:val="000000"/>
              </w:rPr>
              <w:t>En función de las necesidades que surjan a lo largo del proceso, se implementarán las medidas adecuadas.</w:t>
            </w:r>
          </w:p>
        </w:tc>
      </w:tr>
    </w:tbl>
    <w:p w:rsidR="002A0597" w:rsidRDefault="002A0597">
      <w:pPr>
        <w:pStyle w:val="normal0"/>
      </w:pPr>
    </w:p>
    <w:sectPr w:rsidR="002A0597" w:rsidSect="002A0597">
      <w:footerReference w:type="default" r:id="rId8"/>
      <w:pgSz w:w="11906" w:h="16838"/>
      <w:pgMar w:top="1134" w:right="1134" w:bottom="1748" w:left="1134" w:header="0" w:footer="113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191" w:rsidRDefault="00E54191" w:rsidP="002A0597">
      <w:pPr>
        <w:spacing w:before="0" w:after="0"/>
      </w:pPr>
      <w:r>
        <w:separator/>
      </w:r>
    </w:p>
  </w:endnote>
  <w:endnote w:type="continuationSeparator" w:id="1">
    <w:p w:rsidR="00E54191" w:rsidRDefault="00E54191" w:rsidP="002A059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Linux Biolinum G">
    <w:panose1 w:val="02000503000000000000"/>
    <w:charset w:val="00"/>
    <w:family w:val="auto"/>
    <w:pitch w:val="variable"/>
    <w:sig w:usb0="E0000AFF" w:usb1="5000E5FB" w:usb2="00000020" w:usb3="00000000" w:csb0="000001BF" w:csb1="00000000"/>
  </w:font>
  <w:font w:name="Liberation Sans">
    <w:panose1 w:val="020B0604020202020204"/>
    <w:charset w:val="00"/>
    <w:family w:val="swiss"/>
    <w:pitch w:val="variable"/>
    <w:sig w:usb0="E0000AFF" w:usb1="500078FF" w:usb2="00000021" w:usb3="00000000" w:csb0="000001B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597" w:rsidRDefault="00917AA6">
    <w:pPr>
      <w:pStyle w:val="normal0"/>
      <w:pBdr>
        <w:top w:val="nil"/>
        <w:left w:val="nil"/>
        <w:bottom w:val="nil"/>
        <w:right w:val="nil"/>
        <w:between w:val="nil"/>
      </w:pBdr>
      <w:tabs>
        <w:tab w:val="center" w:pos="4819"/>
        <w:tab w:val="right" w:pos="9638"/>
      </w:tabs>
      <w:jc w:val="right"/>
      <w:rPr>
        <w:color w:val="000000"/>
      </w:rPr>
    </w:pPr>
    <w:r>
      <w:rPr>
        <w:color w:val="000000"/>
      </w:rPr>
      <w:fldChar w:fldCharType="begin"/>
    </w:r>
    <w:r w:rsidR="0012198F">
      <w:rPr>
        <w:color w:val="000000"/>
      </w:rPr>
      <w:instrText>PAGE</w:instrText>
    </w:r>
    <w:r>
      <w:rPr>
        <w:color w:val="000000"/>
      </w:rPr>
      <w:fldChar w:fldCharType="separate"/>
    </w:r>
    <w:r w:rsidR="007215B4">
      <w:rPr>
        <w:noProof/>
        <w:color w:val="000000"/>
      </w:rPr>
      <w:t>2</w:t>
    </w:r>
    <w:r>
      <w:rPr>
        <w:color w:val="000000"/>
      </w:rPr>
      <w:fldChar w:fldCharType="end"/>
    </w:r>
    <w:r w:rsidR="0012198F">
      <w:rPr>
        <w:color w:val="000000"/>
      </w:rPr>
      <w:t xml:space="preserve"> de </w:t>
    </w:r>
    <w:r>
      <w:rPr>
        <w:color w:val="000000"/>
      </w:rPr>
      <w:fldChar w:fldCharType="begin"/>
    </w:r>
    <w:r w:rsidR="0012198F">
      <w:rPr>
        <w:color w:val="000000"/>
      </w:rPr>
      <w:instrText>NUMPAGES</w:instrText>
    </w:r>
    <w:r>
      <w:rPr>
        <w:color w:val="000000"/>
      </w:rPr>
      <w:fldChar w:fldCharType="separate"/>
    </w:r>
    <w:r w:rsidR="007215B4">
      <w:rPr>
        <w:noProof/>
        <w:color w:val="000000"/>
      </w:rPr>
      <w:t>3</w:t>
    </w:r>
    <w:r>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191" w:rsidRDefault="00E54191" w:rsidP="002A0597">
      <w:pPr>
        <w:spacing w:before="0" w:after="0"/>
      </w:pPr>
      <w:r>
        <w:separator/>
      </w:r>
    </w:p>
  </w:footnote>
  <w:footnote w:type="continuationSeparator" w:id="1">
    <w:p w:rsidR="00E54191" w:rsidRDefault="00E54191" w:rsidP="002A059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717FC4"/>
    <w:multiLevelType w:val="multilevel"/>
    <w:tmpl w:val="881864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footnotePr>
    <w:footnote w:id="0"/>
    <w:footnote w:id="1"/>
  </w:footnotePr>
  <w:endnotePr>
    <w:endnote w:id="0"/>
    <w:endnote w:id="1"/>
  </w:endnotePr>
  <w:compat/>
  <w:rsids>
    <w:rsidRoot w:val="002A0597"/>
    <w:rsid w:val="0012198F"/>
    <w:rsid w:val="002074DD"/>
    <w:rsid w:val="002A0597"/>
    <w:rsid w:val="007215B4"/>
    <w:rsid w:val="00917AA6"/>
    <w:rsid w:val="00E54191"/>
    <w:rsid w:val="00E9335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nux Biolinum G" w:eastAsia="Linux Biolinum G" w:hAnsi="Linux Biolinum G" w:cs="Linux Biolinum G"/>
        <w:sz w:val="24"/>
        <w:szCs w:val="24"/>
        <w:lang w:val="es-ES" w:eastAsia="es-ES" w:bidi="ar-SA"/>
      </w:rPr>
    </w:rPrDefault>
    <w:pPrDefault>
      <w:pPr>
        <w:spacing w:before="57" w:after="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AA6"/>
  </w:style>
  <w:style w:type="paragraph" w:styleId="Ttulo1">
    <w:name w:val="heading 1"/>
    <w:basedOn w:val="normal0"/>
    <w:next w:val="normal0"/>
    <w:rsid w:val="002A0597"/>
    <w:pPr>
      <w:keepNext/>
      <w:spacing w:before="240" w:after="120"/>
      <w:outlineLvl w:val="0"/>
    </w:pPr>
    <w:rPr>
      <w:rFonts w:ascii="Liberation Sans" w:eastAsia="Liberation Sans" w:hAnsi="Liberation Sans" w:cs="Liberation Sans"/>
      <w:b/>
      <w:sz w:val="36"/>
      <w:szCs w:val="36"/>
    </w:rPr>
  </w:style>
  <w:style w:type="paragraph" w:styleId="Ttulo2">
    <w:name w:val="heading 2"/>
    <w:basedOn w:val="normal0"/>
    <w:next w:val="normal0"/>
    <w:link w:val="Ttulo2Car"/>
    <w:rsid w:val="002A0597"/>
    <w:pPr>
      <w:keepNext/>
      <w:spacing w:before="200" w:after="120"/>
      <w:outlineLvl w:val="1"/>
    </w:pPr>
    <w:rPr>
      <w:rFonts w:ascii="Liberation Sans" w:eastAsia="Liberation Sans" w:hAnsi="Liberation Sans" w:cs="Liberation Sans"/>
      <w:b/>
      <w:color w:val="213C70"/>
      <w:sz w:val="32"/>
      <w:szCs w:val="32"/>
    </w:rPr>
  </w:style>
  <w:style w:type="paragraph" w:styleId="Ttulo3">
    <w:name w:val="heading 3"/>
    <w:basedOn w:val="normal0"/>
    <w:next w:val="normal0"/>
    <w:rsid w:val="002A0597"/>
    <w:pPr>
      <w:keepNext/>
      <w:keepLines/>
      <w:spacing w:before="280" w:after="80"/>
      <w:outlineLvl w:val="2"/>
    </w:pPr>
    <w:rPr>
      <w:b/>
      <w:sz w:val="28"/>
      <w:szCs w:val="28"/>
    </w:rPr>
  </w:style>
  <w:style w:type="paragraph" w:styleId="Ttulo4">
    <w:name w:val="heading 4"/>
    <w:basedOn w:val="normal0"/>
    <w:next w:val="normal0"/>
    <w:rsid w:val="002A0597"/>
    <w:pPr>
      <w:keepNext/>
      <w:keepLines/>
      <w:spacing w:before="240" w:after="40"/>
      <w:outlineLvl w:val="3"/>
    </w:pPr>
    <w:rPr>
      <w:b/>
    </w:rPr>
  </w:style>
  <w:style w:type="paragraph" w:styleId="Ttulo5">
    <w:name w:val="heading 5"/>
    <w:basedOn w:val="normal0"/>
    <w:next w:val="normal0"/>
    <w:rsid w:val="002A0597"/>
    <w:pPr>
      <w:keepNext/>
      <w:keepLines/>
      <w:spacing w:before="220" w:after="40"/>
      <w:outlineLvl w:val="4"/>
    </w:pPr>
    <w:rPr>
      <w:b/>
      <w:sz w:val="22"/>
      <w:szCs w:val="22"/>
    </w:rPr>
  </w:style>
  <w:style w:type="paragraph" w:styleId="Ttulo6">
    <w:name w:val="heading 6"/>
    <w:basedOn w:val="normal0"/>
    <w:next w:val="normal0"/>
    <w:rsid w:val="002A059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2A0597"/>
    <w:tblPr>
      <w:tblCellMar>
        <w:top w:w="100" w:type="dxa"/>
        <w:left w:w="100" w:type="dxa"/>
        <w:bottom w:w="100" w:type="dxa"/>
        <w:right w:w="100" w:type="dxa"/>
      </w:tblCellMar>
    </w:tblPr>
  </w:style>
  <w:style w:type="paragraph" w:customStyle="1" w:styleId="normal0">
    <w:name w:val="normal"/>
    <w:rsid w:val="002A0597"/>
  </w:style>
  <w:style w:type="paragraph" w:styleId="Ttulo">
    <w:name w:val="Title"/>
    <w:basedOn w:val="normal0"/>
    <w:next w:val="normal0"/>
    <w:rsid w:val="002A0597"/>
    <w:pPr>
      <w:keepNext/>
      <w:spacing w:before="240" w:after="120"/>
      <w:jc w:val="center"/>
    </w:pPr>
    <w:rPr>
      <w:rFonts w:ascii="Liberation Sans" w:eastAsia="Liberation Sans" w:hAnsi="Liberation Sans" w:cs="Liberation Sans"/>
      <w:b/>
      <w:color w:val="3465A4"/>
      <w:sz w:val="44"/>
      <w:szCs w:val="44"/>
    </w:rPr>
  </w:style>
  <w:style w:type="paragraph" w:styleId="Subttulo">
    <w:name w:val="Subtitle"/>
    <w:basedOn w:val="normal0"/>
    <w:next w:val="normal0"/>
    <w:rsid w:val="002A0597"/>
    <w:pPr>
      <w:keepNext/>
      <w:keepLines/>
      <w:spacing w:before="360" w:after="80"/>
    </w:pPr>
    <w:rPr>
      <w:rFonts w:ascii="Georgia" w:eastAsia="Georgia" w:hAnsi="Georgia" w:cs="Georgia"/>
      <w:i/>
      <w:color w:val="666666"/>
      <w:sz w:val="48"/>
      <w:szCs w:val="48"/>
    </w:rPr>
  </w:style>
  <w:style w:type="table" w:customStyle="1" w:styleId="a">
    <w:basedOn w:val="TableNormal"/>
    <w:rsid w:val="002A0597"/>
    <w:tblPr>
      <w:tblStyleRowBandSize w:val="1"/>
      <w:tblStyleColBandSize w:val="1"/>
      <w:tblCellMar>
        <w:top w:w="28" w:type="dxa"/>
        <w:left w:w="28" w:type="dxa"/>
        <w:bottom w:w="28" w:type="dxa"/>
        <w:right w:w="28" w:type="dxa"/>
      </w:tblCellMar>
    </w:tblPr>
  </w:style>
  <w:style w:type="table" w:customStyle="1" w:styleId="a0">
    <w:basedOn w:val="TableNormal"/>
    <w:rsid w:val="002A0597"/>
    <w:tblPr>
      <w:tblStyleRowBandSize w:val="1"/>
      <w:tblStyleColBandSize w:val="1"/>
      <w:tblCellMar>
        <w:top w:w="57" w:type="dxa"/>
        <w:left w:w="105" w:type="dxa"/>
        <w:bottom w:w="57" w:type="dxa"/>
        <w:right w:w="113" w:type="dxa"/>
      </w:tblCellMar>
    </w:tblPr>
  </w:style>
  <w:style w:type="table" w:customStyle="1" w:styleId="a1">
    <w:basedOn w:val="TableNormal"/>
    <w:rsid w:val="002A0597"/>
    <w:tblPr>
      <w:tblStyleRowBandSize w:val="1"/>
      <w:tblStyleColBandSize w:val="1"/>
      <w:tblCellMar>
        <w:top w:w="57" w:type="dxa"/>
        <w:left w:w="105" w:type="dxa"/>
        <w:bottom w:w="57" w:type="dxa"/>
        <w:right w:w="113" w:type="dxa"/>
      </w:tblCellMar>
    </w:tblPr>
  </w:style>
  <w:style w:type="table" w:customStyle="1" w:styleId="a2">
    <w:basedOn w:val="TableNormal"/>
    <w:rsid w:val="002A0597"/>
    <w:tblPr>
      <w:tblStyleRowBandSize w:val="1"/>
      <w:tblStyleColBandSize w:val="1"/>
      <w:tblCellMar>
        <w:top w:w="57" w:type="dxa"/>
        <w:left w:w="105" w:type="dxa"/>
        <w:bottom w:w="57" w:type="dxa"/>
        <w:right w:w="113" w:type="dxa"/>
      </w:tblCellMar>
    </w:tblPr>
  </w:style>
  <w:style w:type="table" w:customStyle="1" w:styleId="a3">
    <w:basedOn w:val="TableNormal"/>
    <w:rsid w:val="002A0597"/>
    <w:tblPr>
      <w:tblStyleRowBandSize w:val="1"/>
      <w:tblStyleColBandSize w:val="1"/>
      <w:tblCellMar>
        <w:top w:w="57" w:type="dxa"/>
        <w:left w:w="105" w:type="dxa"/>
        <w:bottom w:w="57" w:type="dxa"/>
        <w:right w:w="113" w:type="dxa"/>
      </w:tblCellMar>
    </w:tblPr>
  </w:style>
  <w:style w:type="table" w:customStyle="1" w:styleId="a4">
    <w:basedOn w:val="TableNormal"/>
    <w:rsid w:val="002A0597"/>
    <w:tblPr>
      <w:tblStyleRowBandSize w:val="1"/>
      <w:tblStyleColBandSize w:val="1"/>
      <w:tblCellMar>
        <w:top w:w="57" w:type="dxa"/>
        <w:left w:w="105" w:type="dxa"/>
        <w:bottom w:w="57" w:type="dxa"/>
        <w:right w:w="113" w:type="dxa"/>
      </w:tblCellMar>
    </w:tblPr>
  </w:style>
  <w:style w:type="table" w:customStyle="1" w:styleId="a5">
    <w:basedOn w:val="TableNormal"/>
    <w:rsid w:val="002A0597"/>
    <w:tblPr>
      <w:tblStyleRowBandSize w:val="1"/>
      <w:tblStyleColBandSize w:val="1"/>
      <w:tblCellMar>
        <w:top w:w="57" w:type="dxa"/>
        <w:left w:w="105" w:type="dxa"/>
        <w:bottom w:w="57" w:type="dxa"/>
        <w:right w:w="113" w:type="dxa"/>
      </w:tblCellMar>
    </w:tblPr>
  </w:style>
  <w:style w:type="character" w:customStyle="1" w:styleId="Ttulo2Car">
    <w:name w:val="Título 2 Car"/>
    <w:basedOn w:val="Fuentedeprrafopredeter"/>
    <w:link w:val="Ttulo2"/>
    <w:rsid w:val="007215B4"/>
    <w:rPr>
      <w:rFonts w:ascii="Liberation Sans" w:eastAsia="Liberation Sans" w:hAnsi="Liberation Sans" w:cs="Liberation Sans"/>
      <w:b/>
      <w:color w:val="213C70"/>
      <w:sz w:val="32"/>
      <w:szCs w:val="32"/>
    </w:rPr>
  </w:style>
  <w:style w:type="character" w:customStyle="1" w:styleId="Ninguno">
    <w:name w:val="Ninguno"/>
    <w:rsid w:val="007215B4"/>
    <w:rPr>
      <w:lang w:val="es-ES_tradnl"/>
    </w:rPr>
  </w:style>
  <w:style w:type="paragraph" w:customStyle="1" w:styleId="Estilodetabla2A">
    <w:name w:val="Estilo de tabla 2 A"/>
    <w:rsid w:val="007215B4"/>
    <w:pPr>
      <w:pBdr>
        <w:top w:val="nil"/>
        <w:left w:val="nil"/>
        <w:bottom w:val="nil"/>
        <w:right w:val="nil"/>
        <w:between w:val="nil"/>
        <w:bar w:val="nil"/>
      </w:pBdr>
      <w:spacing w:before="0" w:after="100" w:line="276" w:lineRule="auto"/>
      <w:jc w:val="left"/>
    </w:pPr>
    <w:rPr>
      <w:rFonts w:ascii="Helvetica Neue" w:eastAsia="Arial Unicode MS" w:hAnsi="Helvetica Neue" w:cs="Arial Unicode MS"/>
      <w:color w:val="000000"/>
      <w:sz w:val="20"/>
      <w:szCs w:val="20"/>
      <w:u w:color="000000"/>
      <w:bdr w:val="nil"/>
      <w:shd w:val="nil"/>
      <w:lang w:val="es-ES_tradn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1086</Words>
  <Characters>5978</Characters>
  <Application>Microsoft Office Word</Application>
  <DocSecurity>0</DocSecurity>
  <Lines>49</Lines>
  <Paragraphs>14</Paragraphs>
  <ScaleCrop>false</ScaleCrop>
  <Company/>
  <LinksUpToDate>false</LinksUpToDate>
  <CharactersWithSpaces>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dc:creator>
  <cp:lastModifiedBy>Estudiante</cp:lastModifiedBy>
  <cp:revision>3</cp:revision>
  <dcterms:created xsi:type="dcterms:W3CDTF">2025-10-15T09:34:00Z</dcterms:created>
  <dcterms:modified xsi:type="dcterms:W3CDTF">2025-10-15T09:40:00Z</dcterms:modified>
</cp:coreProperties>
</file>